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94" w:rsidRDefault="00807794" w:rsidP="00807794">
      <w:pPr>
        <w:pStyle w:val="headertext"/>
        <w:spacing w:before="0" w:beforeAutospacing="0" w:after="240" w:afterAutospacing="0"/>
        <w:ind w:left="360"/>
        <w:jc w:val="center"/>
        <w:textAlignment w:val="baseline"/>
        <w:rPr>
          <w:rFonts w:ascii="Arial" w:hAnsi="Arial" w:cs="Arial"/>
          <w:b/>
          <w:bCs/>
          <w:color w:val="444444"/>
        </w:rPr>
      </w:pPr>
      <w:r>
        <w:rPr>
          <w:rFonts w:ascii="Arial" w:hAnsi="Arial" w:cs="Arial"/>
          <w:b/>
          <w:bCs/>
          <w:color w:val="444444"/>
        </w:rPr>
        <w:t>ПРАВИТЕЛЬСТВО РОССИЙСКОЙ ФЕДЕРАЦИИ</w:t>
      </w:r>
    </w:p>
    <w:p w:rsidR="00807794" w:rsidRDefault="00807794" w:rsidP="00807794">
      <w:pPr>
        <w:pStyle w:val="headertext"/>
        <w:spacing w:before="0" w:beforeAutospacing="0" w:after="240" w:afterAutospacing="0"/>
        <w:ind w:left="360"/>
        <w:jc w:val="center"/>
        <w:textAlignment w:val="baseline"/>
        <w:rPr>
          <w:rFonts w:ascii="Arial" w:hAnsi="Arial" w:cs="Arial"/>
          <w:b/>
          <w:bCs/>
          <w:color w:val="444444"/>
        </w:rPr>
      </w:pPr>
      <w:r>
        <w:rPr>
          <w:rFonts w:ascii="Arial" w:hAnsi="Arial" w:cs="Arial"/>
          <w:b/>
          <w:bCs/>
          <w:color w:val="444444"/>
        </w:rPr>
        <w:t>ПОСТАНОВЛЕНИЕ</w:t>
      </w:r>
    </w:p>
    <w:p w:rsidR="00807794" w:rsidRDefault="00807794" w:rsidP="00807794">
      <w:pPr>
        <w:pStyle w:val="headertext"/>
        <w:spacing w:before="0" w:beforeAutospacing="0" w:after="240" w:afterAutospacing="0"/>
        <w:ind w:left="360"/>
        <w:jc w:val="center"/>
        <w:textAlignment w:val="baseline"/>
        <w:rPr>
          <w:rFonts w:ascii="Arial" w:hAnsi="Arial" w:cs="Arial"/>
          <w:b/>
          <w:bCs/>
          <w:color w:val="444444"/>
        </w:rPr>
      </w:pPr>
      <w:r>
        <w:rPr>
          <w:rFonts w:ascii="Arial" w:hAnsi="Arial" w:cs="Arial"/>
          <w:b/>
          <w:bCs/>
          <w:color w:val="444444"/>
        </w:rPr>
        <w:t>от 8 сентября 2021 года N 1521</w:t>
      </w:r>
      <w:r>
        <w:rPr>
          <w:rFonts w:ascii="Arial" w:hAnsi="Arial" w:cs="Arial"/>
          <w:b/>
          <w:bCs/>
          <w:color w:val="444444"/>
        </w:rPr>
        <w:br/>
      </w:r>
    </w:p>
    <w:p w:rsidR="00807794" w:rsidRDefault="00807794" w:rsidP="00807794">
      <w:pPr>
        <w:pStyle w:val="headertext"/>
        <w:spacing w:before="0" w:beforeAutospacing="0" w:after="240" w:afterAutospacing="0"/>
        <w:ind w:left="360"/>
        <w:jc w:val="center"/>
        <w:textAlignment w:val="baseline"/>
        <w:rPr>
          <w:rFonts w:ascii="Arial" w:hAnsi="Arial" w:cs="Arial"/>
          <w:b/>
          <w:bCs/>
          <w:color w:val="444444"/>
        </w:rPr>
      </w:pPr>
      <w:r>
        <w:rPr>
          <w:rFonts w:ascii="Arial" w:hAnsi="Arial" w:cs="Arial"/>
          <w:b/>
          <w:bCs/>
          <w:color w:val="444444"/>
        </w:rPr>
        <w:t>О социальной поддержке молодежи в возрасте от 14 до 22 лет для повышения доступности организаций культуры</w:t>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Правительство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постановляет:</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 Предусмотреть с 1 сентября 2021 г. в качестве меры социальной поддержки выплату гражданам Российской Федерации в возрасте от 14 до 22 лет в 2021 году в размере 3 тыс. рублей, с 2022 года - 5 тыс. рублей в целях посещения ими мероприятий, проводимых организациями культуры.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 Утвердить прилагаемые </w:t>
      </w:r>
      <w:hyperlink r:id="rId6" w:anchor="6560IO" w:history="1">
        <w:r>
          <w:rPr>
            <w:rStyle w:val="a6"/>
            <w:rFonts w:ascii="Arial" w:hAnsi="Arial" w:cs="Arial"/>
            <w:color w:val="3451A0"/>
          </w:rPr>
          <w:t>Правила реализации мер по социальной поддержке молодежи в возрасте от 14 до 22 лет для повышения доступности организаций культуры</w:t>
        </w:r>
      </w:hyperlink>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3. Рекомендовать органам исполнительной власти субъектов Российской Федерации в сфере культуры организовать работу экспертных советов в соответствии с </w:t>
      </w:r>
      <w:hyperlink r:id="rId7" w:anchor="6560IO" w:history="1">
        <w:r>
          <w:rPr>
            <w:rStyle w:val="a6"/>
            <w:rFonts w:ascii="Arial" w:hAnsi="Arial" w:cs="Arial"/>
            <w:color w:val="3451A0"/>
          </w:rPr>
          <w:t>Правилами</w:t>
        </w:r>
      </w:hyperlink>
      <w:r>
        <w:rPr>
          <w:rFonts w:ascii="Arial" w:hAnsi="Arial" w:cs="Arial"/>
          <w:color w:val="444444"/>
        </w:rPr>
        <w:t>, утвержденными настоящим постановлением.</w:t>
      </w:r>
      <w:r>
        <w:rPr>
          <w:rFonts w:ascii="Arial" w:hAnsi="Arial" w:cs="Arial"/>
          <w:color w:val="444444"/>
        </w:rPr>
        <w:br/>
      </w:r>
    </w:p>
    <w:p w:rsidR="00807794" w:rsidRDefault="00807794" w:rsidP="00807794">
      <w:pPr>
        <w:pStyle w:val="formattext"/>
        <w:spacing w:before="0" w:beforeAutospacing="0" w:after="0" w:afterAutospacing="0"/>
        <w:ind w:left="360"/>
        <w:jc w:val="right"/>
        <w:textAlignment w:val="baseline"/>
        <w:rPr>
          <w:rFonts w:ascii="Arial" w:hAnsi="Arial" w:cs="Arial"/>
          <w:color w:val="444444"/>
        </w:rPr>
      </w:pPr>
      <w:r>
        <w:rPr>
          <w:rFonts w:ascii="Arial" w:hAnsi="Arial" w:cs="Arial"/>
          <w:color w:val="444444"/>
        </w:rPr>
        <w:t>Председатель Правительства</w:t>
      </w:r>
      <w:r>
        <w:rPr>
          <w:rFonts w:ascii="Arial" w:hAnsi="Arial" w:cs="Arial"/>
          <w:color w:val="444444"/>
        </w:rPr>
        <w:br/>
        <w:t>Российской Федерации</w:t>
      </w:r>
      <w:r>
        <w:rPr>
          <w:rFonts w:ascii="Arial" w:hAnsi="Arial" w:cs="Arial"/>
          <w:color w:val="444444"/>
        </w:rPr>
        <w:br/>
      </w:r>
      <w:proofErr w:type="spellStart"/>
      <w:r>
        <w:rPr>
          <w:rFonts w:ascii="Arial" w:hAnsi="Arial" w:cs="Arial"/>
          <w:color w:val="444444"/>
        </w:rPr>
        <w:t>М.Мишустин</w:t>
      </w:r>
      <w:proofErr w:type="spell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br/>
      </w:r>
    </w:p>
    <w:p w:rsidR="00807794" w:rsidRDefault="00807794">
      <w:pPr>
        <w:rPr>
          <w:rFonts w:ascii="Arial" w:eastAsiaTheme="majorEastAsia" w:hAnsi="Arial" w:cs="Arial"/>
          <w:b/>
          <w:bCs/>
          <w:color w:val="444444"/>
          <w:sz w:val="24"/>
          <w:szCs w:val="24"/>
        </w:rPr>
      </w:pPr>
      <w:r>
        <w:rPr>
          <w:rFonts w:ascii="Arial" w:hAnsi="Arial" w:cs="Arial"/>
          <w:color w:val="444444"/>
          <w:sz w:val="24"/>
          <w:szCs w:val="24"/>
        </w:rPr>
        <w:br w:type="page"/>
      </w:r>
    </w:p>
    <w:p w:rsidR="00807794" w:rsidRDefault="00807794" w:rsidP="00807794">
      <w:pPr>
        <w:pStyle w:val="2"/>
        <w:spacing w:before="0" w:after="240"/>
        <w:ind w:left="360"/>
        <w:jc w:val="right"/>
        <w:textAlignment w:val="baseline"/>
        <w:rPr>
          <w:rFonts w:ascii="Arial" w:hAnsi="Arial" w:cs="Arial"/>
          <w:color w:val="444444"/>
          <w:sz w:val="24"/>
          <w:szCs w:val="24"/>
        </w:rPr>
      </w:pPr>
      <w:r>
        <w:rPr>
          <w:rFonts w:ascii="Arial" w:hAnsi="Arial" w:cs="Arial"/>
          <w:color w:val="444444"/>
          <w:sz w:val="24"/>
          <w:szCs w:val="24"/>
        </w:rPr>
        <w:lastRenderedPageBreak/>
        <w:t>УТВЕРЖДЕНЫ</w:t>
      </w:r>
      <w:r>
        <w:rPr>
          <w:rFonts w:ascii="Arial" w:hAnsi="Arial" w:cs="Arial"/>
          <w:color w:val="444444"/>
          <w:sz w:val="24"/>
          <w:szCs w:val="24"/>
        </w:rPr>
        <w:br/>
        <w:t>постановлением Правительства</w:t>
      </w:r>
      <w:r>
        <w:rPr>
          <w:rFonts w:ascii="Arial" w:hAnsi="Arial" w:cs="Arial"/>
          <w:color w:val="444444"/>
          <w:sz w:val="24"/>
          <w:szCs w:val="24"/>
        </w:rPr>
        <w:br/>
        <w:t>Российской Федерации</w:t>
      </w:r>
      <w:r>
        <w:rPr>
          <w:rFonts w:ascii="Arial" w:hAnsi="Arial" w:cs="Arial"/>
          <w:color w:val="444444"/>
          <w:sz w:val="24"/>
          <w:szCs w:val="24"/>
        </w:rPr>
        <w:br/>
        <w:t>от 8 сентября 2021 года N 1521</w:t>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br/>
      </w:r>
    </w:p>
    <w:p w:rsidR="00807794" w:rsidRDefault="00807794" w:rsidP="00807794">
      <w:pPr>
        <w:pStyle w:val="headertext"/>
        <w:spacing w:before="0" w:beforeAutospacing="0" w:after="240" w:afterAutospacing="0"/>
        <w:ind w:left="360"/>
        <w:jc w:val="center"/>
        <w:textAlignment w:val="baseline"/>
        <w:rPr>
          <w:rFonts w:ascii="Arial" w:hAnsi="Arial" w:cs="Arial"/>
          <w:b/>
          <w:bCs/>
          <w:color w:val="444444"/>
        </w:rPr>
      </w:pPr>
      <w:r>
        <w:rPr>
          <w:rFonts w:ascii="Arial" w:hAnsi="Arial" w:cs="Arial"/>
          <w:b/>
          <w:bCs/>
          <w:color w:val="444444"/>
        </w:rPr>
        <w:t>Правила реализации мер по социальной поддержке молодежи в возрасте от 14 до 22 лет для повышения доступности организаций культуры</w:t>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 Настоящие Правила устанавливают порядок и условия реализации программы социальной поддержки молодежи в возрасте от 14 до 22 лет для повышения доступности организаций культуры "Пушкинская карта" (далее - программа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 Программа "Пушкинская карта" реализуется для граждан Российской Федерации в возрасте от 14 до 22 лет включительно в целях повышения доступности посещения мероприятий, проводимых организациями культуры.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3. В настоящих Правилах используются следующие понятия: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"билет" - документ по форме,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"В рамках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"билетные операторы (</w:t>
      </w:r>
      <w:proofErr w:type="spellStart"/>
      <w:r>
        <w:rPr>
          <w:rFonts w:ascii="Arial" w:hAnsi="Arial" w:cs="Arial"/>
          <w:color w:val="444444"/>
        </w:rPr>
        <w:t>агрегаторы</w:t>
      </w:r>
      <w:proofErr w:type="spellEnd"/>
      <w:r>
        <w:rPr>
          <w:rFonts w:ascii="Arial" w:hAnsi="Arial" w:cs="Arial"/>
          <w:color w:val="444444"/>
        </w:rPr>
        <w:t>)" - уполномоченные на основании соответствующего договора с организациями культуры юридические лица, оказывающие услуги по распространению (реализации) билетов;</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"гражданин" - физическое лицо - гражданин Российской Федерации в возрасте от 14 до 22 лет включительно, принимающий на добровольной основе участие в программе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"единая система идентификац</w:t>
      </w:r>
      <w:proofErr w:type="gramStart"/>
      <w:r>
        <w:rPr>
          <w:rFonts w:ascii="Arial" w:hAnsi="Arial" w:cs="Arial"/>
          <w:color w:val="444444"/>
        </w:rPr>
        <w:t>ии и ау</w:t>
      </w:r>
      <w:proofErr w:type="gramEnd"/>
      <w:r>
        <w:rPr>
          <w:rFonts w:ascii="Arial" w:hAnsi="Arial" w:cs="Arial"/>
          <w:color w:val="444444"/>
        </w:rPr>
        <w:t>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"инфраструктура взаимодействия" -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"карта" - предоплаченная банковская карта "Пушкинская карта", выпущенная оператором на имя гражданина с лимитом средств в 2021 году 3 тыс. рублей, с 2022 года - 5 тыс. рублей. Срок начала действия карты отсчитывается со дня достижения гражданином 14 лет и завершается по истечении 12 месяцев со </w:t>
      </w:r>
      <w:r>
        <w:rPr>
          <w:rFonts w:ascii="Arial" w:hAnsi="Arial" w:cs="Arial"/>
          <w:color w:val="444444"/>
        </w:rPr>
        <w:lastRenderedPageBreak/>
        <w:t>дня достижения гражданином 22 лет;</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"лимит карты" - объем финансовых средств, доступный гражданину для покупки билетов;</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"мера социальной поддержки" - целевая выплата гражданам, принимающим на добровольной основе участие в программе "Пушкинская карта", которую они могут расходовать, используя карту для оплаты билетов на посещение мероприятий, включенных в реестр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"мероприятие" - мероприятие, проводимое организацией культуры, включенное на основании решения экспертного совета в реестр мероприятий программы "Пушкинская карта" для его посещения гражданами;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t>"мобильное приложение" -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функционирующее на базе инфраструктуры взаимодействия;</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"оператор" - отбираемое в соответствии с законодательством Российской Федерации юридическое лицо, обеспечивающее организационно-технологическую возможность оплаты билетов на посещение мероприятий с использованием карты;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"организации культуры" - театры, концертные организации, музеи, организации культурно-досугового типа, библиотеки и образовательные организации в сфере культуры (федеральные, региональные, муниципальные и частные 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w:t>
      </w:r>
      <w:proofErr w:type="spellStart"/>
      <w:r>
        <w:rPr>
          <w:rFonts w:ascii="Arial" w:hAnsi="Arial" w:cs="Arial"/>
          <w:color w:val="444444"/>
        </w:rPr>
        <w:t>агрегаторов</w:t>
      </w:r>
      <w:proofErr w:type="spellEnd"/>
      <w:r>
        <w:rPr>
          <w:rFonts w:ascii="Arial" w:hAnsi="Arial" w:cs="Arial"/>
          <w:color w:val="444444"/>
        </w:rPr>
        <w:t>) предоставляющие гражданам возможность посещения организуемых ими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"платформа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 автоматизированная информационная система, функционирующая на базе автоматизированной информационной системы "Единое информационное пространство в сфере культуры", оператором которой является Министерство культуры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"реестр мероприятий" - перечень мероприятий, включенных в программу "Пушкинская карта" на основании решения экспертного совета. Реестр мероприятий ведется в электронном виде и размещается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Федеральным органом исполнительной власти, ответственным за формирование и предоставление доступа к реестру мероприятий, является Министерство культуры Российской Федерации. Ответственным за ведение реестра является федеральное казенное учреждение;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"реестр организаций культуры" - формируемый Министерством культуры Российской Федерации единый перечень организаций культуры, участвующих в реализации программы "Пушкинская карта". Реестр организаций культуры ведется в электронном виде и размещается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xml:space="preserve">". </w:t>
      </w:r>
      <w:r>
        <w:rPr>
          <w:rFonts w:ascii="Arial" w:hAnsi="Arial" w:cs="Arial"/>
          <w:color w:val="444444"/>
        </w:rPr>
        <w:lastRenderedPageBreak/>
        <w:t>Федеральным органом исполнительной власти, ответственным за предоставление доступа к реестру организаций культуры, является Министерство культуры Российской Федерации. Ответственным за ведение реестра является федеральное казенное учреждение;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t>"реестр сведений о проданных билетах" - перечень сведений о проданных билетах, в том числе сведений о факте их гашения (признания недействительными) организациями культуры в рамках программы "Пушкинская карта",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"Пушкинская карта";</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"устройство терминального доступа" - зарегистрированное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техническое решение, позволяющее организации культуры или билетному оператору (</w:t>
      </w:r>
      <w:proofErr w:type="spellStart"/>
      <w:r>
        <w:rPr>
          <w:rFonts w:ascii="Arial" w:hAnsi="Arial" w:cs="Arial"/>
          <w:color w:val="444444"/>
        </w:rPr>
        <w:t>агрегатору</w:t>
      </w:r>
      <w:proofErr w:type="spellEnd"/>
      <w:r>
        <w:rPr>
          <w:rFonts w:ascii="Arial" w:hAnsi="Arial" w:cs="Arial"/>
          <w:color w:val="444444"/>
        </w:rPr>
        <w:t>)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w:t>
      </w:r>
      <w:proofErr w:type="spellStart"/>
      <w:r>
        <w:rPr>
          <w:rFonts w:ascii="Arial" w:hAnsi="Arial" w:cs="Arial"/>
          <w:color w:val="444444"/>
        </w:rPr>
        <w:t>агрегатором</w:t>
      </w:r>
      <w:proofErr w:type="spellEnd"/>
      <w:r>
        <w:rPr>
          <w:rFonts w:ascii="Arial" w:hAnsi="Arial" w:cs="Arial"/>
          <w:color w:val="444444"/>
        </w:rPr>
        <w:t>), имеет технические параметры - идентификатор терминала (</w:t>
      </w:r>
      <w:proofErr w:type="spellStart"/>
      <w:r>
        <w:rPr>
          <w:rFonts w:ascii="Arial" w:hAnsi="Arial" w:cs="Arial"/>
          <w:color w:val="444444"/>
        </w:rPr>
        <w:t>Terminal</w:t>
      </w:r>
      <w:proofErr w:type="spellEnd"/>
      <w:r>
        <w:rPr>
          <w:rFonts w:ascii="Arial" w:hAnsi="Arial" w:cs="Arial"/>
          <w:color w:val="444444"/>
        </w:rPr>
        <w:t xml:space="preserve"> ID, TID), идентификатор продавца - владельца терминала (</w:t>
      </w:r>
      <w:proofErr w:type="spellStart"/>
      <w:r>
        <w:rPr>
          <w:rFonts w:ascii="Arial" w:hAnsi="Arial" w:cs="Arial"/>
          <w:color w:val="444444"/>
        </w:rPr>
        <w:t>Merchant</w:t>
      </w:r>
      <w:proofErr w:type="spellEnd"/>
      <w:r>
        <w:rPr>
          <w:rFonts w:ascii="Arial" w:hAnsi="Arial" w:cs="Arial"/>
          <w:color w:val="444444"/>
        </w:rPr>
        <w:t xml:space="preserve"> ID, MID), идентификатор института-</w:t>
      </w:r>
      <w:proofErr w:type="spellStart"/>
      <w:r>
        <w:rPr>
          <w:rFonts w:ascii="Arial" w:hAnsi="Arial" w:cs="Arial"/>
          <w:color w:val="444444"/>
        </w:rPr>
        <w:t>эквайера</w:t>
      </w:r>
      <w:proofErr w:type="spellEnd"/>
      <w:r>
        <w:rPr>
          <w:rFonts w:ascii="Arial" w:hAnsi="Arial" w:cs="Arial"/>
          <w:color w:val="444444"/>
        </w:rPr>
        <w:t xml:space="preserve"> (</w:t>
      </w:r>
      <w:proofErr w:type="spellStart"/>
      <w:r>
        <w:rPr>
          <w:rFonts w:ascii="Arial" w:hAnsi="Arial" w:cs="Arial"/>
          <w:color w:val="444444"/>
        </w:rPr>
        <w:t>Acquirer</w:t>
      </w:r>
      <w:proofErr w:type="spellEnd"/>
      <w:r>
        <w:rPr>
          <w:rFonts w:ascii="Arial" w:hAnsi="Arial" w:cs="Arial"/>
          <w:color w:val="444444"/>
        </w:rPr>
        <w:t xml:space="preserve"> ID), код вида деятельности владельца терминала (</w:t>
      </w:r>
      <w:proofErr w:type="spellStart"/>
      <w:r>
        <w:rPr>
          <w:rFonts w:ascii="Arial" w:hAnsi="Arial" w:cs="Arial"/>
          <w:color w:val="444444"/>
        </w:rPr>
        <w:t>Merchant</w:t>
      </w:r>
      <w:proofErr w:type="spellEnd"/>
      <w:r>
        <w:rPr>
          <w:rFonts w:ascii="Arial" w:hAnsi="Arial" w:cs="Arial"/>
          <w:color w:val="444444"/>
        </w:rPr>
        <w:t xml:space="preserve"> </w:t>
      </w:r>
      <w:proofErr w:type="spellStart"/>
      <w:r>
        <w:rPr>
          <w:rFonts w:ascii="Arial" w:hAnsi="Arial" w:cs="Arial"/>
          <w:color w:val="444444"/>
        </w:rPr>
        <w:t>category</w:t>
      </w:r>
      <w:proofErr w:type="spellEnd"/>
      <w:r>
        <w:rPr>
          <w:rFonts w:ascii="Arial" w:hAnsi="Arial" w:cs="Arial"/>
          <w:color w:val="444444"/>
        </w:rPr>
        <w:t xml:space="preserve"> </w:t>
      </w:r>
      <w:proofErr w:type="spellStart"/>
      <w:r>
        <w:rPr>
          <w:rFonts w:ascii="Arial" w:hAnsi="Arial" w:cs="Arial"/>
          <w:color w:val="444444"/>
        </w:rPr>
        <w:t>code</w:t>
      </w:r>
      <w:proofErr w:type="spellEnd"/>
      <w:r>
        <w:rPr>
          <w:rFonts w:ascii="Arial" w:hAnsi="Arial" w:cs="Arial"/>
          <w:color w:val="444444"/>
        </w:rPr>
        <w:t>, MCC). При этом идентификатор терминала (</w:t>
      </w:r>
      <w:proofErr w:type="spellStart"/>
      <w:r>
        <w:rPr>
          <w:rFonts w:ascii="Arial" w:hAnsi="Arial" w:cs="Arial"/>
          <w:color w:val="444444"/>
        </w:rPr>
        <w:t>Terminal</w:t>
      </w:r>
      <w:proofErr w:type="spellEnd"/>
      <w:r>
        <w:rPr>
          <w:rFonts w:ascii="Arial" w:hAnsi="Arial" w:cs="Arial"/>
          <w:color w:val="444444"/>
        </w:rPr>
        <w:t xml:space="preserve"> ID, TID) и идентификатор продавца - владельца терминала (</w:t>
      </w:r>
      <w:proofErr w:type="spellStart"/>
      <w:r>
        <w:rPr>
          <w:rFonts w:ascii="Arial" w:hAnsi="Arial" w:cs="Arial"/>
          <w:color w:val="444444"/>
        </w:rPr>
        <w:t>Merchant</w:t>
      </w:r>
      <w:proofErr w:type="spellEnd"/>
      <w:r>
        <w:rPr>
          <w:rFonts w:ascii="Arial" w:hAnsi="Arial" w:cs="Arial"/>
          <w:color w:val="444444"/>
        </w:rPr>
        <w:t xml:space="preserve"> ID, MID) на каждом устройстве, используемом организацией культуры или билетным оператором (</w:t>
      </w:r>
      <w:proofErr w:type="spellStart"/>
      <w:r>
        <w:rPr>
          <w:rFonts w:ascii="Arial" w:hAnsi="Arial" w:cs="Arial"/>
          <w:color w:val="444444"/>
        </w:rPr>
        <w:t>агрегатором</w:t>
      </w:r>
      <w:proofErr w:type="spellEnd"/>
      <w:r>
        <w:rPr>
          <w:rFonts w:ascii="Arial" w:hAnsi="Arial" w:cs="Arial"/>
          <w:color w:val="444444"/>
        </w:rPr>
        <w:t>), должны быть уникальными;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"федеральное казенное учреждение" - федеральное казенное учреждение, находящееся в ведении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"экспертные советы" - советы, создаваемые при Министерстве культуры Российской Федерации и при органах исполнительной власти субъектов Российской Федерации в сфере культуры и действующие в соответствии с положениями о них.</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4. Участниками программы "Пушкинская карта" являются: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Министерство культуры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Министерство цифрового развития, связи и массовых коммуникаций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федеральное казенное учреждение;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организации культуры;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оператор;</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lastRenderedPageBreak/>
        <w:t>экспертные советы;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граждане;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билетные операторы (</w:t>
      </w:r>
      <w:proofErr w:type="spellStart"/>
      <w:r>
        <w:rPr>
          <w:rFonts w:ascii="Arial" w:hAnsi="Arial" w:cs="Arial"/>
          <w:color w:val="444444"/>
        </w:rPr>
        <w:t>агрегаторы</w:t>
      </w:r>
      <w:proofErr w:type="spellEnd"/>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5. Министерство культуры Российской Федерации в рамках реализации программы "Пушкинская карта" осуществляет общую координацию реализации программы "Пушкинская карта", в том числе обеспечивает процесс отбора и включения организаций культуры и мероприятий в реестр организаций культуры и реестр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Для обеспечения реализации программы "Пушкинская карта" Министерство культуры Российской Федерации формирует и утверждает состав экспертного совета при Министерстве культуры Российской Федерации, обеспечивает эксплуатацию и развитие платформы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а также доступ к ней участников программы "Пушкинская карта" в объеме, необходимом для ее реализации, взаимодействует с органами исполнительной власти субъектов Российской Федерации в сфере культуры по вопросам организации работы региональных экспертных советов.</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6. </w:t>
      </w:r>
      <w:proofErr w:type="gramStart"/>
      <w:r>
        <w:rPr>
          <w:rFonts w:ascii="Arial" w:hAnsi="Arial" w:cs="Arial"/>
          <w:color w:val="444444"/>
        </w:rPr>
        <w:t>Министерство цифрового развития, связи и массовых коммуникаций Российской Федерации в рамках реализации программы "Пушкинская карта" обеспечивает разработку и функционирование мобильного приложения, обеспечивающего регистрацию граждан в единой системе идентификации и аутентификации, в том числе посредством представления сведений об основном документе, удостоверяющем личность гражданина Российской Федерации, фотографического изображения лица гражданина, и присоединение к программе "Пушкинская карта", а также ведет реестр сведений о</w:t>
      </w:r>
      <w:proofErr w:type="gramEnd"/>
      <w:r>
        <w:rPr>
          <w:rFonts w:ascii="Arial" w:hAnsi="Arial" w:cs="Arial"/>
          <w:color w:val="444444"/>
        </w:rPr>
        <w:t xml:space="preserve"> проданных </w:t>
      </w:r>
      <w:proofErr w:type="gramStart"/>
      <w:r>
        <w:rPr>
          <w:rFonts w:ascii="Arial" w:hAnsi="Arial" w:cs="Arial"/>
          <w:color w:val="444444"/>
        </w:rPr>
        <w:t>билетах</w:t>
      </w:r>
      <w:proofErr w:type="gramEnd"/>
      <w:r>
        <w:rPr>
          <w:rFonts w:ascii="Arial" w:hAnsi="Arial" w:cs="Arial"/>
          <w:color w:val="444444"/>
        </w:rPr>
        <w:t xml:space="preserve"> на основании данных, представленных организациями культуры, оператором и иными участниками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7. Федеральное казенное учреждение организует работу, в том числе во взаимодействии с Министерством культуры Российской Федерации и органами исполнительной власти субъектов Российской Федерации в сфере культуры, по отбору организаций культуры и мероприятий для включения в реестр организаций культуры и реестр мероприятий, обеспечивает ведение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реестра организаций культуры и реестра мероприятий, а также организует в режиме реального времени доступ к ним участников программы "Пушкинская карта", подготавливает рекомендации по заполнению реестра организаций культуры и реестра мероприятий, осуществляет взаимодействие с участниками программы "Пушкинская карта" по вопросам реализации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8. Организации культуры в рамках реализации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размещают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заявки о включении мероприятий в реестр мероприятий согласно рекомендациям, подготовленным федеральным казенным учреждением, посредством регистрации и создания личного кабинета на платформе "</w:t>
      </w:r>
      <w:proofErr w:type="spellStart"/>
      <w:r>
        <w:rPr>
          <w:rFonts w:ascii="Arial" w:hAnsi="Arial" w:cs="Arial"/>
          <w:color w:val="444444"/>
        </w:rPr>
        <w:t>PRO.Культура.РФ</w:t>
      </w:r>
      <w:proofErr w:type="spellEnd"/>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lastRenderedPageBreak/>
        <w:t>заключают с оператором соглашения о взаимодействии, предусматривающие права и обязанности оператора и организации культуры в целях соблюдения положений, установленных настоящими Правилами;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использование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представляют в Министерство культуры Российской Федерации посредством регистрации в личном кабинете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технические параметры устройств терминального доступа, указанные в абзаце восемнадцатом </w:t>
      </w:r>
      <w:hyperlink r:id="rId8" w:anchor="65C0IR" w:history="1">
        <w:r>
          <w:rPr>
            <w:rStyle w:val="a6"/>
            <w:rFonts w:ascii="Arial" w:hAnsi="Arial" w:cs="Arial"/>
            <w:color w:val="3451A0"/>
          </w:rPr>
          <w:t>пункта 3 настоящих Правил</w:t>
        </w:r>
      </w:hyperlink>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реализацию билетов, в том числе с привлечением билетных операторов (</w:t>
      </w:r>
      <w:proofErr w:type="spellStart"/>
      <w:r>
        <w:rPr>
          <w:rFonts w:ascii="Arial" w:hAnsi="Arial" w:cs="Arial"/>
          <w:color w:val="444444"/>
        </w:rPr>
        <w:t>агрегаторов</w:t>
      </w:r>
      <w:proofErr w:type="spellEnd"/>
      <w:r>
        <w:rPr>
          <w:rFonts w:ascii="Arial" w:hAnsi="Arial" w:cs="Arial"/>
          <w:color w:val="444444"/>
        </w:rPr>
        <w:t>), на основании заключенных договоров и (или) соглашений;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передачу информации о билетах и их покупателях, в том числе посредством информационных систем участников программы "Пушкинская карта", в реестр сведений о проданных билетах;</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подтверждают личность гражданина, предъявившего билет, в том числе путем сравнения с основным документом, удостоверяющим личность гражданина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осуществляют гашение (признание </w:t>
      </w:r>
      <w:proofErr w:type="gramStart"/>
      <w:r>
        <w:rPr>
          <w:rFonts w:ascii="Arial" w:hAnsi="Arial" w:cs="Arial"/>
          <w:color w:val="444444"/>
        </w:rPr>
        <w:t>недействительными</w:t>
      </w:r>
      <w:proofErr w:type="gramEnd"/>
      <w:r>
        <w:rPr>
          <w:rFonts w:ascii="Arial" w:hAnsi="Arial" w:cs="Arial"/>
          <w:color w:val="444444"/>
        </w:rPr>
        <w:t>) билетов при посещении гражданином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осуществляют передачу сведений о возврате билета в реестр сведений о проданных билетах;</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осуществляют передачу сведений о гашении (признании </w:t>
      </w:r>
      <w:proofErr w:type="gramStart"/>
      <w:r>
        <w:rPr>
          <w:rFonts w:ascii="Arial" w:hAnsi="Arial" w:cs="Arial"/>
          <w:color w:val="444444"/>
        </w:rPr>
        <w:t>недействительным</w:t>
      </w:r>
      <w:proofErr w:type="gramEnd"/>
      <w:r>
        <w:rPr>
          <w:rFonts w:ascii="Arial" w:hAnsi="Arial" w:cs="Arial"/>
          <w:color w:val="444444"/>
        </w:rPr>
        <w:t>) билета в реестр сведений о проданных билетах.</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9. Оператор в рамках реализации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t>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случае возврата билета (билетов);</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прекращает возможность использования карты в случаях, установленных </w:t>
      </w:r>
      <w:hyperlink r:id="rId9" w:anchor="7DQ0KC" w:history="1">
        <w:r>
          <w:rPr>
            <w:rStyle w:val="a6"/>
            <w:rFonts w:ascii="Arial" w:hAnsi="Arial" w:cs="Arial"/>
            <w:color w:val="3451A0"/>
          </w:rPr>
          <w:t>пунктом 31 настоящих Правил</w:t>
        </w:r>
      </w:hyperlink>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представляет в мобильное приложение информацию об остатке лимита средств, находящихся на карте;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lastRenderedPageBreak/>
        <w:t>представляет в реестр сведений о проданных билетах сведения о билетах, оплаченных картой, эмитентом которой является оператор;</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представляет ежемесячно в Министерство культуры Российской Федерации информацию о размере средств (проданных билетах), подлежащих компенсации за счет предоставления субсидии в рамках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заключает с организациями культуры и билетными операторами (</w:t>
      </w:r>
      <w:proofErr w:type="spellStart"/>
      <w:r>
        <w:rPr>
          <w:rFonts w:ascii="Arial" w:hAnsi="Arial" w:cs="Arial"/>
          <w:color w:val="444444"/>
        </w:rPr>
        <w:t>агрегаторами</w:t>
      </w:r>
      <w:proofErr w:type="spellEnd"/>
      <w:r>
        <w:rPr>
          <w:rFonts w:ascii="Arial" w:hAnsi="Arial" w:cs="Arial"/>
          <w:color w:val="444444"/>
        </w:rPr>
        <w:t>) соглашения о взаимодействии, предусматривающие права и обязанности сторон в целях соблюдения положений, установленных настоящими Правилами;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осуществляет регистрацию гражданина в единой системе идентификац</w:t>
      </w:r>
      <w:proofErr w:type="gramStart"/>
      <w:r>
        <w:rPr>
          <w:rFonts w:ascii="Arial" w:hAnsi="Arial" w:cs="Arial"/>
          <w:color w:val="444444"/>
        </w:rPr>
        <w:t>ии и ау</w:t>
      </w:r>
      <w:proofErr w:type="gramEnd"/>
      <w:r>
        <w:rPr>
          <w:rFonts w:ascii="Arial" w:hAnsi="Arial" w:cs="Arial"/>
          <w:color w:val="444444"/>
        </w:rPr>
        <w:t>тентификации при обращении гражданина к оператору в целях выпуска карты.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10. </w:t>
      </w:r>
      <w:proofErr w:type="gramStart"/>
      <w:r>
        <w:rPr>
          <w:rFonts w:ascii="Arial" w:hAnsi="Arial" w:cs="Arial"/>
          <w:color w:val="444444"/>
        </w:rPr>
        <w:t>Экспертные советы в рамках реализации программы "Пушкинская карта" формируют рекомендации по популяризации мероприятий организаций культуры для Министерства культуры Российской Федерации, органа исполнительной власти субъекта Российской Федерации в сфере культуры, а также рассматривают поданные организациями культуры заявки на включение организаций культуры в реестр организаций культуры и их мероприятий в реестр мероприятий и принимают решения об их включении в соответствующие реестры.</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Заявки организаций культуры на включение организаций культуры в реестр организаций культуры и их мероприятий в реестр мероприятий рассматриваются экспертным советом не более 3 рабочих дней.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11. Граждане в рамках реализации программы "Пушкинская карта" регистрируются в единой системе идентификац</w:t>
      </w:r>
      <w:proofErr w:type="gramStart"/>
      <w:r>
        <w:rPr>
          <w:rFonts w:ascii="Arial" w:hAnsi="Arial" w:cs="Arial"/>
          <w:color w:val="444444"/>
        </w:rPr>
        <w:t>ии и ау</w:t>
      </w:r>
      <w:proofErr w:type="gramEnd"/>
      <w:r>
        <w:rPr>
          <w:rFonts w:ascii="Arial" w:hAnsi="Arial" w:cs="Arial"/>
          <w:color w:val="444444"/>
        </w:rPr>
        <w:t>тентификации с использованием интерактивной формы регистрации гражданина Российской Федерации в единой системе идентификации и аутентификации или мобильного приложения или с помощью оператора.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t>Граждане в установленном порядке выражают согласие на добровольное участие в программе "Пушкинская карта", подают заявление на получение карты для участия в программе "Пушкинская карта", оплачивают картой билеты, при посещении мероприятий для подтверждения личности предъявляют основной документ, удостоверяющий личность гражданина Российской Федерации, или необходимые сведения из основного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12. Билетные операторы (</w:t>
      </w:r>
      <w:proofErr w:type="spellStart"/>
      <w:r>
        <w:rPr>
          <w:rFonts w:ascii="Arial" w:hAnsi="Arial" w:cs="Arial"/>
          <w:color w:val="444444"/>
        </w:rPr>
        <w:t>агрегаторы</w:t>
      </w:r>
      <w:proofErr w:type="spellEnd"/>
      <w:r>
        <w:rPr>
          <w:rFonts w:ascii="Arial" w:hAnsi="Arial" w:cs="Arial"/>
          <w:color w:val="444444"/>
        </w:rPr>
        <w:t>) в рамках реализации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организационно-технологическую возможность оплаты билетов с использованием карты;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lastRenderedPageBreak/>
        <w:t>заключают с оператором соглашения о взаимодействии, предусматривающие права и обязанности оператора и билетных операторов (</w:t>
      </w:r>
      <w:proofErr w:type="spellStart"/>
      <w:r>
        <w:rPr>
          <w:rFonts w:ascii="Arial" w:hAnsi="Arial" w:cs="Arial"/>
          <w:color w:val="444444"/>
        </w:rPr>
        <w:t>агрегаторов</w:t>
      </w:r>
      <w:proofErr w:type="spellEnd"/>
      <w:r>
        <w:rPr>
          <w:rFonts w:ascii="Arial" w:hAnsi="Arial" w:cs="Arial"/>
          <w:color w:val="444444"/>
        </w:rPr>
        <w:t>) в целях соблюдения положений, установленных настоящими Правилами;</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использование устройств терминального доступа при реализации и возврате билетов в соответствии с настоящими Правилами и не используют указанные устройства для совершения иных операций, не предусмотренных программой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представляют в реестр сведений о проданных билетах сведения о проданных билетах, в том числе информацию об их возврате и гашении (признании недействительными).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13. Участниками программы "Пушкинская карта" (за исключением граждан) осуществляются обработка, хранение и использование персональных данных гражданина. Доступ к указанным данным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14. Условиями участия гражданина в программе "Пушкинская карта" являются: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гражданство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возраст от 14 до 22 лет (включительно);</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получение карты для участия в программе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Для граждан, находящихся в учреждениях здравоохранения на длительном лечении, на воинской службе, в интернатах, возможность участия в программе "Пушкинская карта" обеспечивается руководством указанных учреждений.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15. Для участия в программе "Пушкинская карта" организация культуры должна соответствовать следующим условиям:</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организация культуры включена в реестр организаций культуры;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между организацией культуры и оператором заключено соглашение о взаимодействии;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организация культуры имеет устройство терминального доступа.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Технические параметры устройства терминального доступа, указанные в абзаце восемнадцатом </w:t>
      </w:r>
      <w:hyperlink r:id="rId10" w:anchor="65C0IR" w:history="1">
        <w:r>
          <w:rPr>
            <w:rStyle w:val="a6"/>
            <w:rFonts w:ascii="Arial" w:hAnsi="Arial" w:cs="Arial"/>
            <w:color w:val="3451A0"/>
          </w:rPr>
          <w:t>пункта 3 настоящих Правил</w:t>
        </w:r>
      </w:hyperlink>
      <w:r>
        <w:rPr>
          <w:rFonts w:ascii="Arial" w:hAnsi="Arial" w:cs="Arial"/>
          <w:color w:val="444444"/>
        </w:rPr>
        <w:t>, представляются организацией культуры в Министерство культуры Российской Федерации посредством платформы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xml:space="preserve">". В случае </w:t>
      </w:r>
      <w:proofErr w:type="spellStart"/>
      <w:r>
        <w:rPr>
          <w:rFonts w:ascii="Arial" w:hAnsi="Arial" w:cs="Arial"/>
          <w:color w:val="444444"/>
        </w:rPr>
        <w:t>незаполнения</w:t>
      </w:r>
      <w:proofErr w:type="spellEnd"/>
      <w:r>
        <w:rPr>
          <w:rFonts w:ascii="Arial" w:hAnsi="Arial" w:cs="Arial"/>
          <w:color w:val="444444"/>
        </w:rPr>
        <w:t xml:space="preserve"> или неверного (неполного) заполнения указанных параметров оператор вправе отказать в проведении расчетов по карте.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t xml:space="preserve">Организация культуры обеспечивает контроль за надлежащим использованием устройств терминального доступа, использует указанные </w:t>
      </w:r>
      <w:r>
        <w:rPr>
          <w:rFonts w:ascii="Arial" w:hAnsi="Arial" w:cs="Arial"/>
          <w:color w:val="444444"/>
        </w:rPr>
        <w:lastRenderedPageBreak/>
        <w:t>устройства исключительно для приема карт (в том числе посредством сети "Интернет") при реализации и возврате билетов на посещение мероприятий, включенных в реестр мероприятий, в соответствии с настоящими Правилами и пресекает использование устройств терминального доступа для совершения любых иных операций, не предусмотренных программой "Пушкинская карта".</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16. Для участия в программе "Пушкинская карта" билетные операторы (</w:t>
      </w:r>
      <w:proofErr w:type="spellStart"/>
      <w:r>
        <w:rPr>
          <w:rFonts w:ascii="Arial" w:hAnsi="Arial" w:cs="Arial"/>
          <w:color w:val="444444"/>
        </w:rPr>
        <w:t>агрегаторы</w:t>
      </w:r>
      <w:proofErr w:type="spellEnd"/>
      <w:r>
        <w:rPr>
          <w:rFonts w:ascii="Arial" w:hAnsi="Arial" w:cs="Arial"/>
          <w:color w:val="444444"/>
        </w:rPr>
        <w:t>) обеспечивают технологическую возможность реализации билетов со специальной отметкой "В рамках программы "Пушкинская карта" и заключают с оператором соглашение о взаимодействии.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Билетные операторы (</w:t>
      </w:r>
      <w:proofErr w:type="spellStart"/>
      <w:r>
        <w:rPr>
          <w:rFonts w:ascii="Arial" w:hAnsi="Arial" w:cs="Arial"/>
          <w:color w:val="444444"/>
        </w:rPr>
        <w:t>агрегаторы</w:t>
      </w:r>
      <w:proofErr w:type="spellEnd"/>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наличие на своих сайтах в сети "Интернет", где продаются билеты, кнопки или гиперссылки "оплатить Пушкинской картой";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представляют отчетность по проданным билетам в рамках программы "Пушкинская карта" в порядке, установленном Министерством культуры Российской Федерации по согласованию Министерством цифрового развития, связи и массовых коммуникаций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передают сведения о покупке билета, его возврате и гашении (признании </w:t>
      </w:r>
      <w:proofErr w:type="gramStart"/>
      <w:r>
        <w:rPr>
          <w:rFonts w:ascii="Arial" w:hAnsi="Arial" w:cs="Arial"/>
          <w:color w:val="444444"/>
        </w:rPr>
        <w:t>недействительным</w:t>
      </w:r>
      <w:proofErr w:type="gramEnd"/>
      <w:r>
        <w:rPr>
          <w:rFonts w:ascii="Arial" w:hAnsi="Arial" w:cs="Arial"/>
          <w:color w:val="444444"/>
        </w:rPr>
        <w:t>) в реестр сведений о проданных билетах;</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подключаются к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для получения сведений об организациях культуры и их мероприятиях из реестра организаций культуры и реестра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17. Министерство культуры Российской Федерации, органы исполнительной власти субъектов Российской Федерации в сфере культуры для рассмотрения заявок организаций культуры на их включение в реестр организаций культуры, а также для включения их мероприятий в реестр мероприятий образуют экспертные советы.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Составы экспертных советов, а также положения о них утверждаются Министерством культуры Российской Федерации и органами исполнительной власти субъектов Российской Федерации в сфере культуры соответственно. Члены экспертных советов осуществляют свою деятельность на безвозмездной основе.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В составы экспертных советов входят представители организаций, осуществляющих деятельность в сфере культуры и искусства, а также в сфере молодежной политики, Министерства внутренних дел Российской Федерации и его территориальных органов в субъектах Российской Федерации, родительского сообщества, педагоги-психологи. Экспертный совет не может состоять менее чем из 5 человек. В состав экспертного совета входят председатель и секретарь, которые выполняют функции по организации </w:t>
      </w:r>
      <w:r>
        <w:rPr>
          <w:rFonts w:ascii="Arial" w:hAnsi="Arial" w:cs="Arial"/>
          <w:color w:val="444444"/>
        </w:rPr>
        <w:lastRenderedPageBreak/>
        <w:t>работы экспертного совета.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18. Работа экспертных советов осуществляется посредством электронного взаимодействия с использованием личных кабинетов председателей экспертных советов и личных кабинетов членов экспертных советов, создаваемых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Адреса электронной почты каждого из членов экспертного совета направляются по адресу электронной почты федерального казенного учреждения.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При прекращении полномочий члены экспертных советов теряют право доступа к личным кабинетам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19. Члену экспертного совета в его личном кабинете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предоставляются следующие функциональные возможности: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рассмотрение и оценка заявок организаций культуры на включение организаций культуры в реестр организаций культуры и их мероприятий в реестр мероприятий;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просмотр информации, необходимой для вынесения экспертной оценки;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обмен сообщениями между членами экспертного совета в целях вынесения экспертной оценки.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20. Оценка заявок организаций культуры на их включение в реестр организаций культуры, размещенных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осуществляется каждым членом экспертного совета индивидуально на основании соответствия организации культуры одному из следующих критериев:</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наличие в репертуаре народных произведений, а также произведений русской, отечественной и зарубежной классики;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наличие репертуара, направленного на формирование гармонично развитой, социально ответственной и патриотичной личности (в том числе репертуара </w:t>
      </w:r>
      <w:proofErr w:type="spellStart"/>
      <w:r>
        <w:rPr>
          <w:rFonts w:ascii="Arial" w:hAnsi="Arial" w:cs="Arial"/>
          <w:color w:val="444444"/>
        </w:rPr>
        <w:t>антисуицидальной</w:t>
      </w:r>
      <w:proofErr w:type="spellEnd"/>
      <w:r>
        <w:rPr>
          <w:rFonts w:ascii="Arial" w:hAnsi="Arial" w:cs="Arial"/>
          <w:color w:val="444444"/>
        </w:rPr>
        <w:t xml:space="preserve">, антинаркотической и </w:t>
      </w:r>
      <w:proofErr w:type="spellStart"/>
      <w:r>
        <w:rPr>
          <w:rFonts w:ascii="Arial" w:hAnsi="Arial" w:cs="Arial"/>
          <w:color w:val="444444"/>
        </w:rPr>
        <w:t>антиэкстремистской</w:t>
      </w:r>
      <w:proofErr w:type="spellEnd"/>
      <w:r>
        <w:rPr>
          <w:rFonts w:ascii="Arial" w:hAnsi="Arial" w:cs="Arial"/>
          <w:color w:val="444444"/>
        </w:rPr>
        <w:t xml:space="preserve"> направленности);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наличие коллекций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применение в мероприятиях интерактивных, просветительских, образовательных и инклюзивных форматов работы с аудиторией, а также аудиовизуальных произведений советских и (или) зарубежных классиков.</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Подсчет оценок членов экспертного совета осуществляется платформой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в автоматическом режиме.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lastRenderedPageBreak/>
        <w:t xml:space="preserve">21. </w:t>
      </w:r>
      <w:proofErr w:type="gramStart"/>
      <w:r>
        <w:rPr>
          <w:rFonts w:ascii="Arial" w:hAnsi="Arial" w:cs="Arial"/>
          <w:color w:val="444444"/>
        </w:rPr>
        <w:t xml:space="preserve">Заявка организации культуры на включение проводимых ею мероприятий в реестр мероприятий не подлежит рассмотрению в случае выявления материалов, нарушающих законодательство Российской Федерации о противодействии терроризму и экстремистской деятельности, содержащих сведения о способах, методах разработки и изготовления наркотических средств, психотропных веществ или их </w:t>
      </w:r>
      <w:proofErr w:type="spellStart"/>
      <w:r>
        <w:rPr>
          <w:rFonts w:ascii="Arial" w:hAnsi="Arial" w:cs="Arial"/>
          <w:color w:val="444444"/>
        </w:rPr>
        <w:t>прекурсоров</w:t>
      </w:r>
      <w:proofErr w:type="spellEnd"/>
      <w:r>
        <w:rPr>
          <w:rFonts w:ascii="Arial" w:hAnsi="Arial" w:cs="Arial"/>
          <w:color w:val="444444"/>
        </w:rPr>
        <w:t>, материалов, пропагандирующих порнографию, культ насилия и жестокости, выявления скрытых вставок и иных технических приемов и способов распространения</w:t>
      </w:r>
      <w:proofErr w:type="gramEnd"/>
      <w:r>
        <w:rPr>
          <w:rFonts w:ascii="Arial" w:hAnsi="Arial" w:cs="Arial"/>
          <w:color w:val="444444"/>
        </w:rPr>
        <w:t xml:space="preserve"> информации, воздействующих на подсознание людей и (или) оказывающих вредное влияние на их здоровье, а также материалов, содержащих нецензурные выражения.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22. Председатель экспертного совета формирует решение экспертного совета по результатам оценки заявок организаций культуры членами экспертного совета.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23. Мероприятие включается в реестр мероприятий и становится доступным для приобретения на его посещение билетов, в случае если за него проголосовало не менее двух третей членов экспертного совета.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24. В целях присоединения к программе "Пушкинская карта" и получения мер социальной поддержки гражданин осуществляет регистрацию в единой системе идентификац</w:t>
      </w:r>
      <w:proofErr w:type="gramStart"/>
      <w:r>
        <w:rPr>
          <w:rFonts w:ascii="Arial" w:hAnsi="Arial" w:cs="Arial"/>
          <w:color w:val="444444"/>
        </w:rPr>
        <w:t>ии и ау</w:t>
      </w:r>
      <w:proofErr w:type="gramEnd"/>
      <w:r>
        <w:rPr>
          <w:rFonts w:ascii="Arial" w:hAnsi="Arial" w:cs="Arial"/>
          <w:color w:val="444444"/>
        </w:rPr>
        <w:t>тентификации, в том числе с использованием мобильного приложения, путем внесения следующих сведений:</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фамилия, имя, отчество (при наличии);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пол;</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дата рождения;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реквизиты основного документа, удостоверяющего личность гражданина Российской Федерации (серия, номер, кем выдан, дата выдачи, код подразделения);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сведения о гражданстве;</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сведения о месте рождения;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номер абонентского устройства подвижной радиотелефонной связи;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proofErr w:type="gramStart"/>
      <w:r>
        <w:rPr>
          <w:rFonts w:ascii="Arial" w:hAnsi="Arial" w:cs="Arial"/>
          <w:color w:val="444444"/>
        </w:rPr>
        <w:t>страховой номер индивидуального лицевого счета застрахованного лица в системе персонифицированного учета Пенсионного фонда Российской Федерации (вносится гражданином самостоятельно либо в автоматическом режиме на основании сведений об основном документе, удостоверяющем личность гражданина Российской Федерации, указанных в форме регистрации, путем запроса, направляемого единой системой идентификации и аутентификации в автоматизированную информационную систему Пенсионного фонда Российской Федерации, при условии подтверждения соответствия указанных сведений сведениям</w:t>
      </w:r>
      <w:proofErr w:type="gramEnd"/>
      <w:r>
        <w:rPr>
          <w:rFonts w:ascii="Arial" w:hAnsi="Arial" w:cs="Arial"/>
          <w:color w:val="444444"/>
        </w:rPr>
        <w:t xml:space="preserve">, </w:t>
      </w:r>
      <w:proofErr w:type="gramStart"/>
      <w:r>
        <w:rPr>
          <w:rFonts w:ascii="Arial" w:hAnsi="Arial" w:cs="Arial"/>
          <w:color w:val="444444"/>
        </w:rPr>
        <w:t>содержащимся</w:t>
      </w:r>
      <w:proofErr w:type="gramEnd"/>
      <w:r>
        <w:rPr>
          <w:rFonts w:ascii="Arial" w:hAnsi="Arial" w:cs="Arial"/>
          <w:color w:val="444444"/>
        </w:rPr>
        <w:t xml:space="preserve"> в государственных информационных системах Министерства внутренних дел </w:t>
      </w:r>
      <w:r>
        <w:rPr>
          <w:rFonts w:ascii="Arial" w:hAnsi="Arial" w:cs="Arial"/>
          <w:color w:val="444444"/>
        </w:rPr>
        <w:lastRenderedPageBreak/>
        <w:t>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После регистрации в единой системе идентификац</w:t>
      </w:r>
      <w:proofErr w:type="gramStart"/>
      <w:r>
        <w:rPr>
          <w:rFonts w:ascii="Arial" w:hAnsi="Arial" w:cs="Arial"/>
          <w:color w:val="444444"/>
        </w:rPr>
        <w:t>ии и ау</w:t>
      </w:r>
      <w:proofErr w:type="gramEnd"/>
      <w:r>
        <w:rPr>
          <w:rFonts w:ascii="Arial" w:hAnsi="Arial" w:cs="Arial"/>
          <w:color w:val="444444"/>
        </w:rPr>
        <w:t>тентификации, в том числе посредством мобильного приложения, без личной явки либо посредством обращения к оператору лично гражданин подает заявление на получение карты для участия в программе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Информация о способах получения карты и ее годовых лимитах размещается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Карта выдается (предоставляется) оператором гражданину в электронном виде и (или) на материальном носителе с отображением данных карты в мобильном приложении.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25. В случае отсутствия у гражданина регистрации в единой системе идентификац</w:t>
      </w:r>
      <w:proofErr w:type="gramStart"/>
      <w:r>
        <w:rPr>
          <w:rFonts w:ascii="Arial" w:hAnsi="Arial" w:cs="Arial"/>
          <w:color w:val="444444"/>
        </w:rPr>
        <w:t>ии и ау</w:t>
      </w:r>
      <w:proofErr w:type="gramEnd"/>
      <w:r>
        <w:rPr>
          <w:rFonts w:ascii="Arial" w:hAnsi="Arial" w:cs="Arial"/>
          <w:color w:val="444444"/>
        </w:rPr>
        <w:t>тентификации его регистрацию осуществляет оператор (при личном обращении гражданина к оператору в целях выпуска карты).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Оператор осуществляет идентификацию или упрощенную идентификацию гражданина в порядке, установленном </w:t>
      </w:r>
      <w:hyperlink r:id="rId11" w:anchor="7D20K3" w:history="1">
        <w:r>
          <w:rPr>
            <w:rStyle w:val="a6"/>
            <w:rFonts w:ascii="Arial" w:hAnsi="Arial" w:cs="Arial"/>
            <w:color w:val="3451A0"/>
          </w:rPr>
          <w:t>Федеральным законом "О противодействии легализации (отмыванию) доходов, полученных преступным путем, и финансированию терроризма"</w:t>
        </w:r>
      </w:hyperlink>
      <w:r>
        <w:rPr>
          <w:rFonts w:ascii="Arial" w:hAnsi="Arial" w:cs="Arial"/>
          <w:color w:val="444444"/>
        </w:rPr>
        <w:t>, выпускает карту гражданину в случае соответствия условиям, указанным в </w:t>
      </w:r>
      <w:hyperlink r:id="rId12" w:anchor="7DO0KD" w:history="1">
        <w:r>
          <w:rPr>
            <w:rStyle w:val="a6"/>
            <w:rFonts w:ascii="Arial" w:hAnsi="Arial" w:cs="Arial"/>
            <w:color w:val="3451A0"/>
          </w:rPr>
          <w:t>пункте 14 настоящих Правил</w:t>
        </w:r>
      </w:hyperlink>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26. Основаниями для отказа оператора в присоединении гражданина к программе "Пушкинская карта" являются: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несоответствие гражданина условиям, определенным </w:t>
      </w:r>
      <w:hyperlink r:id="rId13" w:anchor="7DO0KD" w:history="1">
        <w:r>
          <w:rPr>
            <w:rStyle w:val="a6"/>
            <w:rFonts w:ascii="Arial" w:hAnsi="Arial" w:cs="Arial"/>
            <w:color w:val="3451A0"/>
          </w:rPr>
          <w:t>пунктом 14 настоящих Правил</w:t>
        </w:r>
      </w:hyperlink>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неполное и (или) некорректное заполнение заявления на выпуск карты;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незавершенная регистрация в единой системе идентификац</w:t>
      </w:r>
      <w:proofErr w:type="gramStart"/>
      <w:r>
        <w:rPr>
          <w:rFonts w:ascii="Arial" w:hAnsi="Arial" w:cs="Arial"/>
          <w:color w:val="444444"/>
        </w:rPr>
        <w:t>ии и ау</w:t>
      </w:r>
      <w:proofErr w:type="gramEnd"/>
      <w:r>
        <w:rPr>
          <w:rFonts w:ascii="Arial" w:hAnsi="Arial" w:cs="Arial"/>
          <w:color w:val="444444"/>
        </w:rPr>
        <w:t>тентификации;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наличие уже принятого оператором решения об оказании мер социальной поддержки гражданину.</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Гражданин после устранения причин отказа в присоединении к программе "Пушкинская карта" вправе повторно представить заявление на получение карты для участия в программе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27. При посещении мероприятий для подтверждения личности гражданин предъявляет основной документ, удостоверяющий личность гражданина Российской Федерации, или необходимые сведения из основного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В случаях изменения фамилии и (или) имени гражданина и (или) его отчества (вступление в брак, усыновление, личное решение) гражданин переоформляет карту, выпущенную на физическом носителе, при этом баланс карты </w:t>
      </w:r>
      <w:r>
        <w:rPr>
          <w:rFonts w:ascii="Arial" w:hAnsi="Arial" w:cs="Arial"/>
          <w:color w:val="444444"/>
        </w:rPr>
        <w:lastRenderedPageBreak/>
        <w:t>переносится на вновь выпущенную карту. Переоформление электронной (виртуальной) карты в указанных случаях не требуется.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Карта используется гражданином исключительно для оплаты билета (билетов) на посещение мероприятия (мероприятий), включенных в реестр мероприятий, в том числе с использованием мобильного приложения. Использование карты для совершения иных операций не допускается.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 случае потери карты на физическом носителе право гражданина на участие в программе "Пушкинская карта" не утрачивается и выдается дубликат карты.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28. </w:t>
      </w:r>
      <w:proofErr w:type="gramStart"/>
      <w:r>
        <w:rPr>
          <w:rFonts w:ascii="Arial" w:hAnsi="Arial" w:cs="Arial"/>
          <w:color w:val="444444"/>
        </w:rPr>
        <w:t>Оператор осуществляет перечисление денежных средств в размере стоимости билета (билетов) на карту не позднее даты проведения расчетов с организацией культуры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 а также выдает дубликат карты на физическом носителе в случае ее утери гражданином.</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 случае перечисления оператором денежных средств на карту в размере стоимости билета на мероприятие, не включенное в реестр мероприятий, такое перечисление денежных средств не признается осуществленным в рамках мер социальной поддержки, а соответствующая операция не компенсируется за счет предоставления субсидии в рамках программы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29. Билет дает право на посещение мероприятия только гражданину, купившему билет, и не может быть передан третьим лицам.</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гражданина.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При реализации билета организацией культуры и билетными операторами (</w:t>
      </w:r>
      <w:proofErr w:type="spellStart"/>
      <w:r>
        <w:rPr>
          <w:rFonts w:ascii="Arial" w:hAnsi="Arial" w:cs="Arial"/>
          <w:color w:val="444444"/>
        </w:rPr>
        <w:t>агрегаторами</w:t>
      </w:r>
      <w:proofErr w:type="spellEnd"/>
      <w:r>
        <w:rPr>
          <w:rFonts w:ascii="Arial" w:hAnsi="Arial" w:cs="Arial"/>
          <w:color w:val="444444"/>
        </w:rPr>
        <w:t>) сервисный сбор с гражданина не взимается. При реализации билета организацией культуры и билетными операторами (</w:t>
      </w:r>
      <w:proofErr w:type="spellStart"/>
      <w:r>
        <w:rPr>
          <w:rFonts w:ascii="Arial" w:hAnsi="Arial" w:cs="Arial"/>
          <w:color w:val="444444"/>
        </w:rPr>
        <w:t>агрегаторами</w:t>
      </w:r>
      <w:proofErr w:type="spellEnd"/>
      <w:r>
        <w:rPr>
          <w:rFonts w:ascii="Arial" w:hAnsi="Arial" w:cs="Arial"/>
          <w:color w:val="444444"/>
        </w:rPr>
        <w:t>) на мероприятие, не включенное в реестр мероприятий, возврат такого билета по инициативе организации культуры или билетного оператора (</w:t>
      </w:r>
      <w:proofErr w:type="spellStart"/>
      <w:r>
        <w:rPr>
          <w:rFonts w:ascii="Arial" w:hAnsi="Arial" w:cs="Arial"/>
          <w:color w:val="444444"/>
        </w:rPr>
        <w:t>агрегатора</w:t>
      </w:r>
      <w:proofErr w:type="spellEnd"/>
      <w:r>
        <w:rPr>
          <w:rFonts w:ascii="Arial" w:hAnsi="Arial" w:cs="Arial"/>
          <w:color w:val="444444"/>
        </w:rPr>
        <w:t>) не допускается.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 xml:space="preserve">30. </w:t>
      </w:r>
      <w:proofErr w:type="gramStart"/>
      <w:r>
        <w:rPr>
          <w:rFonts w:ascii="Arial" w:hAnsi="Arial" w:cs="Arial"/>
          <w:color w:val="444444"/>
        </w:rPr>
        <w:t>Гражданин имеет право осуществить возврат купленного (купленных) билета (билетов) в соответствии с положениями </w:t>
      </w:r>
      <w:hyperlink r:id="rId14" w:anchor="64U0IK" w:history="1">
        <w:r>
          <w:rPr>
            <w:rStyle w:val="a6"/>
            <w:rFonts w:ascii="Arial" w:hAnsi="Arial" w:cs="Arial"/>
            <w:color w:val="3451A0"/>
          </w:rPr>
          <w:t>Закона Российской Федерации "Основы законодательства Российской Федерации о культуре"</w:t>
        </w:r>
      </w:hyperlink>
      <w:r>
        <w:rPr>
          <w:rFonts w:ascii="Arial" w:hAnsi="Arial" w:cs="Arial"/>
          <w:color w:val="444444"/>
        </w:rPr>
        <w:t>, а также </w:t>
      </w:r>
      <w:hyperlink r:id="rId15" w:anchor="6500IL" w:history="1">
        <w:r>
          <w:rPr>
            <w:rStyle w:val="a6"/>
            <w:rFonts w:ascii="Arial" w:hAnsi="Arial" w:cs="Arial"/>
            <w:color w:val="3451A0"/>
          </w:rPr>
          <w:t>Правилами и условиями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w:t>
        </w:r>
        <w:proofErr w:type="gramEnd"/>
        <w:r>
          <w:rPr>
            <w:rStyle w:val="a6"/>
            <w:rFonts w:ascii="Arial" w:hAnsi="Arial" w:cs="Arial"/>
            <w:color w:val="3451A0"/>
          </w:rPr>
          <w:t xml:space="preserve"> </w:t>
        </w:r>
        <w:proofErr w:type="gramStart"/>
        <w:r>
          <w:rPr>
            <w:rStyle w:val="a6"/>
            <w:rFonts w:ascii="Arial" w:hAnsi="Arial" w:cs="Arial"/>
            <w:color w:val="3451A0"/>
          </w:rPr>
          <w:t>их посещения</w:t>
        </w:r>
      </w:hyperlink>
      <w:r>
        <w:rPr>
          <w:rFonts w:ascii="Arial" w:hAnsi="Arial" w:cs="Arial"/>
          <w:color w:val="444444"/>
        </w:rPr>
        <w:t>, утвержденными </w:t>
      </w:r>
      <w:hyperlink r:id="rId16" w:anchor="64U0IK" w:history="1">
        <w:r>
          <w:rPr>
            <w:rStyle w:val="a6"/>
            <w:rFonts w:ascii="Arial" w:hAnsi="Arial" w:cs="Arial"/>
            <w:color w:val="3451A0"/>
          </w:rPr>
          <w:t xml:space="preserve">постановлением Правительства Российской Федерации от 18 сентября 2020 г. N 1491 "Об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w:t>
        </w:r>
        <w:r>
          <w:rPr>
            <w:rStyle w:val="a6"/>
            <w:rFonts w:ascii="Arial" w:hAnsi="Arial" w:cs="Arial"/>
            <w:color w:val="3451A0"/>
          </w:rPr>
          <w:lastRenderedPageBreak/>
          <w:t>организациями исполнительских искусств и музеями зрелищные мероприятия в случае отказа посетителя от их посещения"</w:t>
        </w:r>
      </w:hyperlink>
      <w:r>
        <w:rPr>
          <w:rFonts w:ascii="Arial" w:hAnsi="Arial" w:cs="Arial"/>
          <w:color w:val="444444"/>
        </w:rPr>
        <w:t>.</w:t>
      </w:r>
      <w:r>
        <w:rPr>
          <w:rFonts w:ascii="Arial" w:hAnsi="Arial" w:cs="Arial"/>
          <w:color w:val="444444"/>
        </w:rPr>
        <w:br/>
      </w:r>
      <w:proofErr w:type="gramEnd"/>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 случае возврата гражданином ранее купленного (купленных) им билета (билетов) с учетом применимых правил возврата организация культуры в течение 3 рабочих дней обеспечивает зачисление подлежащей возврату стоимости билета (билетов) на карту с использованием инфраструктуры платежной системы.</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Возвращенные организацией культуры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"Пушкинская карта", при этом лимит карты увеличивается на сумму возвращенных средств. После возврата средств лимит карты не может превышать общий годовой лимит, установленный абзацем седьмым </w:t>
      </w:r>
      <w:hyperlink r:id="rId17" w:anchor="65C0IR" w:history="1">
        <w:r>
          <w:rPr>
            <w:rStyle w:val="a6"/>
            <w:rFonts w:ascii="Arial" w:hAnsi="Arial" w:cs="Arial"/>
            <w:color w:val="3451A0"/>
          </w:rPr>
          <w:t>пункта 3 настоящих Правил</w:t>
        </w:r>
      </w:hyperlink>
      <w:r>
        <w:rPr>
          <w:rFonts w:ascii="Arial" w:hAnsi="Arial" w:cs="Arial"/>
          <w:color w:val="444444"/>
        </w:rPr>
        <w:t>. Иные способы возврата стоимости или части стоимости билета (билетов), ранее оплаченной с использованием карты, не допускаются.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 случае если на момент осуществления возврата денежных средств участие гражданина в программе "Пушкинская карта"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31. Условиями прекращения участия граждан в программе "Пушкинская карта" являются:</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истечение 12 месяцев со дня достижения гражданином 22 лет;</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прекращение гражданства Российской Федерации;</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двукратная попытка гражданина передачи карты или именного билета третьим лицам.</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32. Участие организаций культуры и билетных операторов (</w:t>
      </w:r>
      <w:proofErr w:type="spellStart"/>
      <w:r>
        <w:rPr>
          <w:rFonts w:ascii="Arial" w:hAnsi="Arial" w:cs="Arial"/>
          <w:color w:val="444444"/>
        </w:rPr>
        <w:t>агрегаторов</w:t>
      </w:r>
      <w:proofErr w:type="spellEnd"/>
      <w:r>
        <w:rPr>
          <w:rFonts w:ascii="Arial" w:hAnsi="Arial" w:cs="Arial"/>
          <w:color w:val="444444"/>
        </w:rPr>
        <w:t>) в программе "Пушкинская карта" приостанавливается (устройство терминального доступа исключается из единого списка устройств терминального доступа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в случае нарушения организацией культуры, билетным оператором (</w:t>
      </w:r>
      <w:proofErr w:type="spellStart"/>
      <w:r>
        <w:rPr>
          <w:rFonts w:ascii="Arial" w:hAnsi="Arial" w:cs="Arial"/>
          <w:color w:val="444444"/>
        </w:rPr>
        <w:t>агрегатором</w:t>
      </w:r>
      <w:proofErr w:type="spellEnd"/>
      <w:r>
        <w:rPr>
          <w:rFonts w:ascii="Arial" w:hAnsi="Arial" w:cs="Arial"/>
          <w:color w:val="444444"/>
        </w:rPr>
        <w:t>) настоящих Правил до устранения причин, послуживших основанием для приостановления участия в программе "Пушкинская карта".</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В случае реализации в соответствии с настоящими Правилами организацией культуры и (или) билетным оператором (</w:t>
      </w:r>
      <w:proofErr w:type="spellStart"/>
      <w:r>
        <w:rPr>
          <w:rFonts w:ascii="Arial" w:hAnsi="Arial" w:cs="Arial"/>
          <w:color w:val="444444"/>
        </w:rPr>
        <w:t>агрегатором</w:t>
      </w:r>
      <w:proofErr w:type="spellEnd"/>
      <w:r>
        <w:rPr>
          <w:rFonts w:ascii="Arial" w:hAnsi="Arial" w:cs="Arial"/>
          <w:color w:val="444444"/>
        </w:rPr>
        <w:t>) билетов на мероприятие, не включенное в реестр мероприятий, или в случае совершения посредством устройства терминального доступа, зарегистрированного на платформе "</w:t>
      </w:r>
      <w:proofErr w:type="spellStart"/>
      <w:r>
        <w:rPr>
          <w:rFonts w:ascii="Arial" w:hAnsi="Arial" w:cs="Arial"/>
          <w:color w:val="444444"/>
        </w:rPr>
        <w:t>PRO.Культура</w:t>
      </w:r>
      <w:proofErr w:type="gramStart"/>
      <w:r>
        <w:rPr>
          <w:rFonts w:ascii="Arial" w:hAnsi="Arial" w:cs="Arial"/>
          <w:color w:val="444444"/>
        </w:rPr>
        <w:t>.Р</w:t>
      </w:r>
      <w:proofErr w:type="gramEnd"/>
      <w:r>
        <w:rPr>
          <w:rFonts w:ascii="Arial" w:hAnsi="Arial" w:cs="Arial"/>
          <w:color w:val="444444"/>
        </w:rPr>
        <w:t>Ф</w:t>
      </w:r>
      <w:proofErr w:type="spellEnd"/>
      <w:r>
        <w:rPr>
          <w:rFonts w:ascii="Arial" w:hAnsi="Arial" w:cs="Arial"/>
          <w:color w:val="444444"/>
        </w:rPr>
        <w:t>", иных операций, не предусмотренных настоящими Правилами, помимо приостановления участия в программе "Пушкинская карта", предусмотренного абзацем первым настоящего пункта, указанные организация культуры и (или) билетный оператор (</w:t>
      </w:r>
      <w:proofErr w:type="spellStart"/>
      <w:r>
        <w:rPr>
          <w:rFonts w:ascii="Arial" w:hAnsi="Arial" w:cs="Arial"/>
          <w:color w:val="444444"/>
        </w:rPr>
        <w:t>агрегатор</w:t>
      </w:r>
      <w:proofErr w:type="spellEnd"/>
      <w:r>
        <w:rPr>
          <w:rFonts w:ascii="Arial" w:hAnsi="Arial" w:cs="Arial"/>
          <w:color w:val="444444"/>
        </w:rPr>
        <w:t xml:space="preserve">) возмещают оператору понесенные расходы по его требованию, представленному в </w:t>
      </w:r>
      <w:r>
        <w:rPr>
          <w:rFonts w:ascii="Arial" w:hAnsi="Arial" w:cs="Arial"/>
          <w:color w:val="444444"/>
        </w:rPr>
        <w:lastRenderedPageBreak/>
        <w:t>соответствии с соглашениями, указанными в абзаце седьмом </w:t>
      </w:r>
      <w:hyperlink r:id="rId18" w:anchor="7DE0K8" w:history="1">
        <w:r>
          <w:rPr>
            <w:rStyle w:val="a6"/>
            <w:rFonts w:ascii="Arial" w:hAnsi="Arial" w:cs="Arial"/>
            <w:color w:val="3451A0"/>
          </w:rPr>
          <w:t>пункта 9 настоящих Правил</w:t>
        </w:r>
      </w:hyperlink>
      <w:r>
        <w:rPr>
          <w:rFonts w:ascii="Arial" w:hAnsi="Arial" w:cs="Arial"/>
          <w:color w:val="444444"/>
        </w:rPr>
        <w:t>.</w:t>
      </w:r>
      <w:r>
        <w:rPr>
          <w:rFonts w:ascii="Arial" w:hAnsi="Arial" w:cs="Arial"/>
          <w:color w:val="444444"/>
        </w:rPr>
        <w:br/>
      </w:r>
    </w:p>
    <w:p w:rsidR="00807794" w:rsidRDefault="00807794" w:rsidP="00807794">
      <w:pPr>
        <w:pStyle w:val="formattext"/>
        <w:spacing w:before="0" w:beforeAutospacing="0" w:after="0" w:afterAutospacing="0"/>
        <w:ind w:left="360"/>
        <w:textAlignment w:val="baseline"/>
        <w:rPr>
          <w:rFonts w:ascii="Arial" w:hAnsi="Arial" w:cs="Arial"/>
          <w:color w:val="444444"/>
        </w:rPr>
      </w:pPr>
      <w:r>
        <w:rPr>
          <w:rFonts w:ascii="Arial" w:hAnsi="Arial" w:cs="Arial"/>
          <w:color w:val="444444"/>
        </w:rPr>
        <w:t>33. Ответственность за нарушение требований, предусмотренных настоящими Правилами, устанавливается в соответствии с законодательством Российской Федерации и соглашениями, заключенными организациями культуры и билетными операторами (</w:t>
      </w:r>
      <w:proofErr w:type="spellStart"/>
      <w:r>
        <w:rPr>
          <w:rFonts w:ascii="Arial" w:hAnsi="Arial" w:cs="Arial"/>
          <w:color w:val="444444"/>
        </w:rPr>
        <w:t>агрегаторами</w:t>
      </w:r>
      <w:proofErr w:type="spellEnd"/>
      <w:r>
        <w:rPr>
          <w:rFonts w:ascii="Arial" w:hAnsi="Arial" w:cs="Arial"/>
          <w:color w:val="444444"/>
        </w:rPr>
        <w:t>) с оператором в целях соблюдения положений, установленных настоящими Правилами.</w:t>
      </w:r>
      <w:r>
        <w:rPr>
          <w:rFonts w:ascii="Arial" w:hAnsi="Arial" w:cs="Arial"/>
          <w:color w:val="444444"/>
        </w:rPr>
        <w:br/>
      </w:r>
      <w:r>
        <w:rPr>
          <w:rFonts w:ascii="Arial" w:hAnsi="Arial" w:cs="Arial"/>
          <w:color w:val="444444"/>
        </w:rPr>
        <w:br/>
      </w:r>
      <w:bookmarkStart w:id="0" w:name="_GoBack"/>
      <w:bookmarkEnd w:id="0"/>
    </w:p>
    <w:p w:rsidR="00F04EEE" w:rsidRPr="00807794" w:rsidRDefault="00F04EEE" w:rsidP="00807794">
      <w:pPr>
        <w:pStyle w:val="formattext"/>
        <w:spacing w:before="0" w:beforeAutospacing="0" w:after="0" w:afterAutospacing="0"/>
        <w:textAlignment w:val="baseline"/>
        <w:rPr>
          <w:rFonts w:ascii="Arial" w:hAnsi="Arial" w:cs="Arial"/>
          <w:color w:val="444444"/>
        </w:rPr>
      </w:pPr>
    </w:p>
    <w:sectPr w:rsidR="00F04EEE" w:rsidRPr="00807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293"/>
    <w:multiLevelType w:val="multilevel"/>
    <w:tmpl w:val="144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82E60"/>
    <w:multiLevelType w:val="multilevel"/>
    <w:tmpl w:val="A906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764DB"/>
    <w:multiLevelType w:val="multilevel"/>
    <w:tmpl w:val="D9F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1B0C96"/>
    <w:multiLevelType w:val="multilevel"/>
    <w:tmpl w:val="02AE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10296"/>
    <w:multiLevelType w:val="multilevel"/>
    <w:tmpl w:val="A48A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E4EF2"/>
    <w:multiLevelType w:val="multilevel"/>
    <w:tmpl w:val="9DA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52D3"/>
    <w:multiLevelType w:val="multilevel"/>
    <w:tmpl w:val="590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64F63"/>
    <w:multiLevelType w:val="multilevel"/>
    <w:tmpl w:val="889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D3"/>
    <w:rsid w:val="00807794"/>
    <w:rsid w:val="00DA7AD3"/>
    <w:rsid w:val="00F0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07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77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077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077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07794"/>
    <w:rPr>
      <w:b/>
      <w:bCs/>
    </w:rPr>
  </w:style>
  <w:style w:type="character" w:styleId="a5">
    <w:name w:val="Emphasis"/>
    <w:basedOn w:val="a0"/>
    <w:uiPriority w:val="20"/>
    <w:qFormat/>
    <w:rsid w:val="00807794"/>
    <w:rPr>
      <w:i/>
      <w:iCs/>
    </w:rPr>
  </w:style>
  <w:style w:type="character" w:customStyle="1" w:styleId="30">
    <w:name w:val="Заголовок 3 Знак"/>
    <w:basedOn w:val="a0"/>
    <w:link w:val="3"/>
    <w:uiPriority w:val="9"/>
    <w:rsid w:val="0080779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07794"/>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807794"/>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807794"/>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807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0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07794"/>
    <w:rPr>
      <w:color w:val="0000FF"/>
      <w:u w:val="single"/>
    </w:rPr>
  </w:style>
  <w:style w:type="paragraph" w:styleId="a7">
    <w:name w:val="Balloon Text"/>
    <w:basedOn w:val="a"/>
    <w:link w:val="a8"/>
    <w:uiPriority w:val="99"/>
    <w:semiHidden/>
    <w:unhideWhenUsed/>
    <w:rsid w:val="008077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7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07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77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077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077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07794"/>
    <w:rPr>
      <w:b/>
      <w:bCs/>
    </w:rPr>
  </w:style>
  <w:style w:type="character" w:styleId="a5">
    <w:name w:val="Emphasis"/>
    <w:basedOn w:val="a0"/>
    <w:uiPriority w:val="20"/>
    <w:qFormat/>
    <w:rsid w:val="00807794"/>
    <w:rPr>
      <w:i/>
      <w:iCs/>
    </w:rPr>
  </w:style>
  <w:style w:type="character" w:customStyle="1" w:styleId="30">
    <w:name w:val="Заголовок 3 Знак"/>
    <w:basedOn w:val="a0"/>
    <w:link w:val="3"/>
    <w:uiPriority w:val="9"/>
    <w:rsid w:val="0080779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07794"/>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807794"/>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807794"/>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807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07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07794"/>
    <w:rPr>
      <w:color w:val="0000FF"/>
      <w:u w:val="single"/>
    </w:rPr>
  </w:style>
  <w:style w:type="paragraph" w:styleId="a7">
    <w:name w:val="Balloon Text"/>
    <w:basedOn w:val="a"/>
    <w:link w:val="a8"/>
    <w:uiPriority w:val="99"/>
    <w:semiHidden/>
    <w:unhideWhenUsed/>
    <w:rsid w:val="008077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7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76037">
      <w:bodyDiv w:val="1"/>
      <w:marLeft w:val="0"/>
      <w:marRight w:val="0"/>
      <w:marTop w:val="0"/>
      <w:marBottom w:val="0"/>
      <w:divBdr>
        <w:top w:val="none" w:sz="0" w:space="0" w:color="auto"/>
        <w:left w:val="none" w:sz="0" w:space="0" w:color="auto"/>
        <w:bottom w:val="none" w:sz="0" w:space="0" w:color="auto"/>
        <w:right w:val="none" w:sz="0" w:space="0" w:color="auto"/>
      </w:divBdr>
    </w:div>
    <w:div w:id="1029140510">
      <w:bodyDiv w:val="1"/>
      <w:marLeft w:val="0"/>
      <w:marRight w:val="0"/>
      <w:marTop w:val="0"/>
      <w:marBottom w:val="0"/>
      <w:divBdr>
        <w:top w:val="none" w:sz="0" w:space="0" w:color="auto"/>
        <w:left w:val="none" w:sz="0" w:space="0" w:color="auto"/>
        <w:bottom w:val="none" w:sz="0" w:space="0" w:color="auto"/>
        <w:right w:val="none" w:sz="0" w:space="0" w:color="auto"/>
      </w:divBdr>
    </w:div>
    <w:div w:id="1213155980">
      <w:bodyDiv w:val="1"/>
      <w:marLeft w:val="0"/>
      <w:marRight w:val="0"/>
      <w:marTop w:val="0"/>
      <w:marBottom w:val="0"/>
      <w:divBdr>
        <w:top w:val="none" w:sz="0" w:space="0" w:color="auto"/>
        <w:left w:val="none" w:sz="0" w:space="0" w:color="auto"/>
        <w:bottom w:val="none" w:sz="0" w:space="0" w:color="auto"/>
        <w:right w:val="none" w:sz="0" w:space="0" w:color="auto"/>
      </w:divBdr>
      <w:divsChild>
        <w:div w:id="507597851">
          <w:marLeft w:val="0"/>
          <w:marRight w:val="0"/>
          <w:marTop w:val="0"/>
          <w:marBottom w:val="0"/>
          <w:divBdr>
            <w:top w:val="none" w:sz="0" w:space="0" w:color="auto"/>
            <w:left w:val="none" w:sz="0" w:space="0" w:color="auto"/>
            <w:bottom w:val="none" w:sz="0" w:space="0" w:color="auto"/>
            <w:right w:val="none" w:sz="0" w:space="0" w:color="auto"/>
          </w:divBdr>
          <w:divsChild>
            <w:div w:id="2105375119">
              <w:marLeft w:val="0"/>
              <w:marRight w:val="0"/>
              <w:marTop w:val="0"/>
              <w:marBottom w:val="0"/>
              <w:divBdr>
                <w:top w:val="none" w:sz="0" w:space="0" w:color="auto"/>
                <w:left w:val="none" w:sz="0" w:space="0" w:color="auto"/>
                <w:bottom w:val="none" w:sz="0" w:space="0" w:color="auto"/>
                <w:right w:val="none" w:sz="0" w:space="0" w:color="auto"/>
              </w:divBdr>
              <w:divsChild>
                <w:div w:id="7801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2246">
          <w:marLeft w:val="0"/>
          <w:marRight w:val="0"/>
          <w:marTop w:val="0"/>
          <w:marBottom w:val="0"/>
          <w:divBdr>
            <w:top w:val="none" w:sz="0" w:space="0" w:color="auto"/>
            <w:left w:val="none" w:sz="0" w:space="0" w:color="auto"/>
            <w:bottom w:val="none" w:sz="0" w:space="0" w:color="auto"/>
            <w:right w:val="none" w:sz="0" w:space="0" w:color="auto"/>
          </w:divBdr>
          <w:divsChild>
            <w:div w:id="1979803689">
              <w:marLeft w:val="0"/>
              <w:marRight w:val="0"/>
              <w:marTop w:val="0"/>
              <w:marBottom w:val="0"/>
              <w:divBdr>
                <w:top w:val="none" w:sz="0" w:space="0" w:color="auto"/>
                <w:left w:val="none" w:sz="0" w:space="0" w:color="auto"/>
                <w:bottom w:val="none" w:sz="0" w:space="0" w:color="auto"/>
                <w:right w:val="none" w:sz="0" w:space="0" w:color="auto"/>
              </w:divBdr>
              <w:divsChild>
                <w:div w:id="786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531284" TargetMode="External"/><Relationship Id="rId13" Type="http://schemas.openxmlformats.org/officeDocument/2006/relationships/hyperlink" Target="https://docs.cntd.ru/document/608531284" TargetMode="External"/><Relationship Id="rId18" Type="http://schemas.openxmlformats.org/officeDocument/2006/relationships/hyperlink" Target="https://docs.cntd.ru/document/608531284" TargetMode="External"/><Relationship Id="rId3" Type="http://schemas.microsoft.com/office/2007/relationships/stylesWithEffects" Target="stylesWithEffects.xml"/><Relationship Id="rId7" Type="http://schemas.openxmlformats.org/officeDocument/2006/relationships/hyperlink" Target="https://docs.cntd.ru/document/608531284" TargetMode="External"/><Relationship Id="rId12" Type="http://schemas.openxmlformats.org/officeDocument/2006/relationships/hyperlink" Target="https://docs.cntd.ru/document/608531284" TargetMode="External"/><Relationship Id="rId17" Type="http://schemas.openxmlformats.org/officeDocument/2006/relationships/hyperlink" Target="https://docs.cntd.ru/document/608531284" TargetMode="External"/><Relationship Id="rId2" Type="http://schemas.openxmlformats.org/officeDocument/2006/relationships/styles" Target="styles.xml"/><Relationship Id="rId16" Type="http://schemas.openxmlformats.org/officeDocument/2006/relationships/hyperlink" Target="https://docs.cntd.ru/document/56582999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cntd.ru/document/608531284" TargetMode="External"/><Relationship Id="rId11" Type="http://schemas.openxmlformats.org/officeDocument/2006/relationships/hyperlink" Target="https://docs.cntd.ru/document/901794413" TargetMode="External"/><Relationship Id="rId5" Type="http://schemas.openxmlformats.org/officeDocument/2006/relationships/webSettings" Target="webSettings.xml"/><Relationship Id="rId15" Type="http://schemas.openxmlformats.org/officeDocument/2006/relationships/hyperlink" Target="https://docs.cntd.ru/document/565829995" TargetMode="External"/><Relationship Id="rId10" Type="http://schemas.openxmlformats.org/officeDocument/2006/relationships/hyperlink" Target="https://docs.cntd.ru/document/6085312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608531284" TargetMode="External"/><Relationship Id="rId14" Type="http://schemas.openxmlformats.org/officeDocument/2006/relationships/hyperlink" Target="https://docs.cntd.ru/document/9005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5013</Words>
  <Characters>28578</Characters>
  <Application>Microsoft Office Word</Application>
  <DocSecurity>0</DocSecurity>
  <Lines>238</Lines>
  <Paragraphs>67</Paragraphs>
  <ScaleCrop>false</ScaleCrop>
  <Company/>
  <LinksUpToDate>false</LinksUpToDate>
  <CharactersWithSpaces>33524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2021-11-25T09:44:00Z</cp:lastPrinted>
  <dcterms:created xsi:type="dcterms:W3CDTF">2021-11-25T09:41:00Z</dcterms:created>
  <dcterms:modified xsi:type="dcterms:W3CDTF">2021-11-25T09:46:00Z</dcterms:modified>
</cp:coreProperties>
</file>